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课程与教学论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  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0-1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17幢718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江漂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张辉</w:t>
            </w:r>
            <w:r>
              <w:rPr>
                <w:sz w:val="28"/>
                <w:szCs w:val="28"/>
              </w:rPr>
              <w:t>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西南大学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邵光华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宁波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w:t>蔡铁权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李润洲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钱旭升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李怀军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张维忠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小学数学教科书问题提出设计研究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57A7"/>
    <w:rsid w:val="0A082812"/>
    <w:rsid w:val="0CBB7358"/>
    <w:rsid w:val="103C7A1F"/>
    <w:rsid w:val="192557E9"/>
    <w:rsid w:val="1F931048"/>
    <w:rsid w:val="20977A9E"/>
    <w:rsid w:val="367C40F9"/>
    <w:rsid w:val="4DCA3940"/>
    <w:rsid w:val="57196A90"/>
    <w:rsid w:val="5D214BE1"/>
    <w:rsid w:val="5FA7291A"/>
    <w:rsid w:val="629D79E2"/>
    <w:rsid w:val="63813A64"/>
    <w:rsid w:val="6CCB4839"/>
    <w:rsid w:val="6EDA0B56"/>
    <w:rsid w:val="73B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2021-05-08T18:12:00Z</dcterms:created>
  <dc:creator>HP</dc:creator>
  <cp:lastModifiedBy>admin</cp:lastModifiedBy>
  <dcterms:modified xsi:type="dcterms:W3CDTF">2021-05-10T10:20:12Z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